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BFC02" w14:textId="77777777" w:rsidR="004832B6" w:rsidRDefault="004832B6" w:rsidP="00AA7EF4">
      <w:pPr>
        <w:jc w:val="center"/>
        <w:rPr>
          <w:rFonts w:hint="eastAsia"/>
          <w:b/>
        </w:rPr>
      </w:pPr>
    </w:p>
    <w:p w14:paraId="19C78EA8" w14:textId="77777777" w:rsidR="00113157" w:rsidRPr="00AA7EF4" w:rsidRDefault="00AA7EF4" w:rsidP="00AA7EF4">
      <w:pPr>
        <w:jc w:val="center"/>
        <w:rPr>
          <w:b/>
        </w:rPr>
      </w:pPr>
      <w:r w:rsidRPr="00AA7EF4">
        <w:rPr>
          <w:rFonts w:hint="eastAsia"/>
          <w:b/>
        </w:rPr>
        <w:t>委内瑞拉设立公司</w:t>
      </w:r>
    </w:p>
    <w:p w14:paraId="17B886D8" w14:textId="77777777" w:rsidR="00AA7EF4" w:rsidRPr="00AA7EF4" w:rsidRDefault="00AA7EF4" w:rsidP="00AA7EF4">
      <w:pPr>
        <w:rPr>
          <w:b/>
          <w:sz w:val="21"/>
          <w:szCs w:val="21"/>
        </w:rPr>
      </w:pPr>
      <w:r w:rsidRPr="00AA7EF4">
        <w:rPr>
          <w:rFonts w:hint="eastAsia"/>
          <w:b/>
          <w:sz w:val="21"/>
          <w:szCs w:val="21"/>
        </w:rPr>
        <w:t>设立企业形式</w:t>
      </w:r>
    </w:p>
    <w:p w14:paraId="1D19CEB5" w14:textId="77777777" w:rsidR="00AA7EF4" w:rsidRPr="00AA7EF4" w:rsidRDefault="00AA7EF4" w:rsidP="00AA7EF4">
      <w:pPr>
        <w:rPr>
          <w:rFonts w:ascii="宋体" w:eastAsia="宋体" w:hAnsi="宋体"/>
          <w:color w:val="333333"/>
          <w:sz w:val="21"/>
          <w:szCs w:val="21"/>
        </w:rPr>
      </w:pPr>
      <w:r w:rsidRPr="00AA7EF4">
        <w:rPr>
          <w:rFonts w:hint="eastAsia"/>
          <w:sz w:val="21"/>
          <w:szCs w:val="21"/>
        </w:rPr>
        <w:t>在委内瑞拉投资设立企业的形式包括公司代表处，分公司，有限制责任公司和股份公司。</w:t>
      </w:r>
      <w:r w:rsidRPr="00AA7EF4">
        <w:rPr>
          <w:rFonts w:ascii="宋体" w:eastAsia="宋体" w:hAnsi="宋体" w:hint="eastAsia"/>
          <w:color w:val="333333"/>
          <w:sz w:val="21"/>
          <w:szCs w:val="21"/>
        </w:rPr>
        <w:t>委外国投资管理委员会根据外国资本的比例将公司分成三大类：</w:t>
      </w:r>
    </w:p>
    <w:p w14:paraId="021BBF1D"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本国公司：外国投资者占百分之二十以下的股份；</w:t>
      </w:r>
    </w:p>
    <w:p w14:paraId="7D7F6857"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合资公司：外国投资者占百分之二十至百分之五十的股份</w:t>
      </w:r>
    </w:p>
    <w:p w14:paraId="1BD2C347" w14:textId="77777777" w:rsid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外国公司：外国投资者占百分之五十以上的股份。</w:t>
      </w:r>
    </w:p>
    <w:p w14:paraId="7F9A33F6" w14:textId="77777777" w:rsidR="00AA7EF4" w:rsidRPr="00AA7EF4" w:rsidRDefault="00AA7EF4" w:rsidP="00AA7EF4">
      <w:pPr>
        <w:rPr>
          <w:rFonts w:ascii="宋体" w:eastAsia="宋体" w:hAnsi="宋体"/>
          <w:color w:val="333333"/>
          <w:sz w:val="21"/>
          <w:szCs w:val="21"/>
        </w:rPr>
      </w:pPr>
    </w:p>
    <w:p w14:paraId="59C854E9" w14:textId="77777777" w:rsidR="00AA7EF4" w:rsidRPr="00AA7EF4" w:rsidRDefault="00AA7EF4" w:rsidP="00AA7EF4">
      <w:pPr>
        <w:rPr>
          <w:b/>
          <w:sz w:val="21"/>
          <w:szCs w:val="21"/>
        </w:rPr>
      </w:pPr>
      <w:r w:rsidRPr="00AA7EF4">
        <w:rPr>
          <w:rFonts w:hint="eastAsia"/>
          <w:b/>
          <w:sz w:val="21"/>
          <w:szCs w:val="21"/>
        </w:rPr>
        <w:t>注册企业的受理机构</w:t>
      </w:r>
    </w:p>
    <w:p w14:paraId="756E41E3" w14:textId="77777777" w:rsidR="00AA7EF4" w:rsidRDefault="00AA7EF4" w:rsidP="00AA7EF4">
      <w:pPr>
        <w:rPr>
          <w:sz w:val="21"/>
          <w:szCs w:val="21"/>
        </w:rPr>
      </w:pPr>
      <w:r w:rsidRPr="00AA7EF4">
        <w:rPr>
          <w:rFonts w:hint="eastAsia"/>
          <w:sz w:val="21"/>
          <w:szCs w:val="21"/>
        </w:rPr>
        <w:t>委内瑞拉投资注册企业的受理机构是轻工贸易部下属的外国投资管理局，但是公司注册海需要到一下部门办理相关手续：海关税务局，国家保险机构，国家教育委员会，委内瑞拉驻外使领馆，律师事务所等。</w:t>
      </w:r>
    </w:p>
    <w:p w14:paraId="21E29A1A" w14:textId="77777777" w:rsidR="00AA7EF4" w:rsidRPr="00AA7EF4" w:rsidRDefault="00AA7EF4" w:rsidP="00AA7EF4">
      <w:pPr>
        <w:rPr>
          <w:sz w:val="21"/>
          <w:szCs w:val="21"/>
        </w:rPr>
      </w:pPr>
    </w:p>
    <w:p w14:paraId="0D3E9C02" w14:textId="77777777" w:rsidR="00AA7EF4" w:rsidRPr="00E06F6D" w:rsidRDefault="00AA7EF4" w:rsidP="00AA7EF4">
      <w:pPr>
        <w:rPr>
          <w:rFonts w:asciiTheme="minorEastAsia" w:hAnsiTheme="minorEastAsia"/>
          <w:b/>
          <w:sz w:val="21"/>
          <w:szCs w:val="21"/>
        </w:rPr>
      </w:pPr>
      <w:r w:rsidRPr="00E06F6D">
        <w:rPr>
          <w:rFonts w:asciiTheme="minorEastAsia" w:hAnsiTheme="minorEastAsia" w:hint="eastAsia"/>
          <w:b/>
          <w:sz w:val="21"/>
          <w:szCs w:val="21"/>
        </w:rPr>
        <w:t>企业注册程序如下:</w:t>
      </w:r>
    </w:p>
    <w:p w14:paraId="35F3B3EC"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1．外国投资者必须取得允许在委投资的签证：投资签证、商务签证。</w:t>
      </w:r>
    </w:p>
    <w:p w14:paraId="614A2B3D"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2. 准备公司章程，确定合作方式。</w:t>
      </w:r>
    </w:p>
    <w:p w14:paraId="7569C070"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3．确定公司股东。股东可以是外国人，也可以是委内瑞拉人。</w:t>
      </w:r>
    </w:p>
    <w:p w14:paraId="75087D7F"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4．资本金注入。</w:t>
      </w:r>
    </w:p>
    <w:p w14:paraId="61C3783B"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5．在外国投资管理局办理公司注册。</w:t>
      </w:r>
    </w:p>
    <w:p w14:paraId="22E85C75"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6．在上述注册后60天内办理商业注册。</w:t>
      </w:r>
    </w:p>
    <w:p w14:paraId="472FB2FE"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7. 在海关税务局办理税务登记，取得公司税号。</w:t>
      </w:r>
    </w:p>
    <w:p w14:paraId="0BF2A6D9"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8．在银行开设公司帐户，并要求银行出具帐户证明。</w:t>
      </w:r>
    </w:p>
    <w:p w14:paraId="76F78DDF"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9．在国家保险机构办理社会保险登记，注册员工。</w:t>
      </w:r>
    </w:p>
    <w:p w14:paraId="120AA950"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10．在国家教育委员会注册。根据委有关规定，员工超过5人以上的公司必须拿出工资总额的2％交给国家教育委员会。</w:t>
      </w:r>
    </w:p>
    <w:p w14:paraId="3E0E1AEF"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11．办理公司注册须提供的文件有：资产证明、公司章程、委派代表授权书等文件。如果外国投资者是法人，则需提供西语译文，并经委驻外使馆领事部认证。</w:t>
      </w:r>
    </w:p>
    <w:p w14:paraId="3E2C177E"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12．公司注册手续通常通过当地律师事务所或聘用私人律师办理。</w:t>
      </w:r>
    </w:p>
    <w:p w14:paraId="3C8E205B" w14:textId="77777777" w:rsidR="00AA7EF4" w:rsidRPr="00AA7EF4" w:rsidRDefault="00AA7EF4" w:rsidP="00AA7EF4">
      <w:pPr>
        <w:rPr>
          <w:rFonts w:ascii="宋体" w:eastAsia="宋体" w:hAnsi="宋体"/>
          <w:color w:val="333333"/>
          <w:sz w:val="21"/>
          <w:szCs w:val="21"/>
        </w:rPr>
      </w:pPr>
      <w:r w:rsidRPr="00AA7EF4">
        <w:rPr>
          <w:rFonts w:ascii="宋体" w:eastAsia="宋体" w:hAnsi="宋体" w:hint="eastAsia"/>
          <w:color w:val="333333"/>
          <w:sz w:val="21"/>
          <w:szCs w:val="21"/>
        </w:rPr>
        <w:t>13．律师费用一般双方协议商定，数额不等。另外还要交注册手续费，费用不高。</w:t>
      </w:r>
    </w:p>
    <w:p w14:paraId="337C05E5" w14:textId="77777777" w:rsidR="00AA7EF4" w:rsidRDefault="00AA7EF4">
      <w:bookmarkStart w:id="0" w:name="_GoBack"/>
      <w:bookmarkEnd w:id="0"/>
    </w:p>
    <w:sectPr w:rsidR="00AA7EF4" w:rsidSect="00113157">
      <w:headerReference w:type="default"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79EE2" w14:textId="77777777" w:rsidR="004832B6" w:rsidRDefault="004832B6" w:rsidP="004832B6">
      <w:r>
        <w:separator/>
      </w:r>
    </w:p>
  </w:endnote>
  <w:endnote w:type="continuationSeparator" w:id="0">
    <w:p w14:paraId="1592F2EE" w14:textId="77777777" w:rsidR="004832B6" w:rsidRDefault="004832B6" w:rsidP="0048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CE99" w14:textId="77777777" w:rsidR="004832B6" w:rsidRDefault="004832B6" w:rsidP="004832B6">
    <w:pPr>
      <w:pStyle w:val="a7"/>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F27E" w14:textId="77777777" w:rsidR="004832B6" w:rsidRDefault="004832B6" w:rsidP="004832B6">
      <w:r>
        <w:separator/>
      </w:r>
    </w:p>
  </w:footnote>
  <w:footnote w:type="continuationSeparator" w:id="0">
    <w:p w14:paraId="181BAFB5" w14:textId="77777777" w:rsidR="004832B6" w:rsidRDefault="004832B6" w:rsidP="004832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C8972" w14:textId="2EE762F4" w:rsidR="004832B6" w:rsidRDefault="004832B6">
    <w:pPr>
      <w:pStyle w:val="a5"/>
    </w:pPr>
    <w:r>
      <w:rPr>
        <w:noProof/>
      </w:rPr>
      <w:drawing>
        <wp:inline distT="0" distB="0" distL="0" distR="0" wp14:anchorId="73FFFD8D" wp14:editId="05587E06">
          <wp:extent cx="4846320" cy="1432560"/>
          <wp:effectExtent l="0" t="0" r="5080" b="0"/>
          <wp:docPr id="1" name="图片 1" descr="version2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2 for 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1432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F4"/>
    <w:rsid w:val="00113157"/>
    <w:rsid w:val="004832B6"/>
    <w:rsid w:val="00AA7EF4"/>
    <w:rsid w:val="00E0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C60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F4"/>
    <w:pPr>
      <w:widowControl/>
      <w:spacing w:before="100" w:beforeAutospacing="1" w:after="100" w:afterAutospacing="1"/>
      <w:jc w:val="left"/>
    </w:pPr>
    <w:rPr>
      <w:rFonts w:ascii="Times" w:hAnsi="Times" w:cs="Times New Roman"/>
      <w:kern w:val="0"/>
      <w:sz w:val="20"/>
      <w:szCs w:val="20"/>
    </w:rPr>
  </w:style>
  <w:style w:type="paragraph" w:styleId="a4">
    <w:name w:val="List Paragraph"/>
    <w:basedOn w:val="a"/>
    <w:uiPriority w:val="34"/>
    <w:qFormat/>
    <w:rsid w:val="00AA7EF4"/>
    <w:pPr>
      <w:ind w:firstLine="420"/>
    </w:pPr>
  </w:style>
  <w:style w:type="paragraph" w:styleId="a5">
    <w:name w:val="header"/>
    <w:basedOn w:val="a"/>
    <w:link w:val="a6"/>
    <w:uiPriority w:val="99"/>
    <w:unhideWhenUsed/>
    <w:rsid w:val="004832B6"/>
    <w:pPr>
      <w:pBdr>
        <w:bottom w:val="single" w:sz="6" w:space="1" w:color="auto"/>
      </w:pBdr>
      <w:tabs>
        <w:tab w:val="center" w:pos="4320"/>
        <w:tab w:val="right" w:pos="8640"/>
      </w:tabs>
      <w:snapToGrid w:val="0"/>
      <w:jc w:val="center"/>
    </w:pPr>
    <w:rPr>
      <w:sz w:val="18"/>
      <w:szCs w:val="18"/>
    </w:rPr>
  </w:style>
  <w:style w:type="character" w:customStyle="1" w:styleId="a6">
    <w:name w:val="页眉字符"/>
    <w:basedOn w:val="a0"/>
    <w:link w:val="a5"/>
    <w:uiPriority w:val="99"/>
    <w:rsid w:val="004832B6"/>
    <w:rPr>
      <w:sz w:val="18"/>
      <w:szCs w:val="18"/>
    </w:rPr>
  </w:style>
  <w:style w:type="paragraph" w:styleId="a7">
    <w:name w:val="footer"/>
    <w:basedOn w:val="a"/>
    <w:link w:val="a8"/>
    <w:uiPriority w:val="99"/>
    <w:unhideWhenUsed/>
    <w:rsid w:val="004832B6"/>
    <w:pPr>
      <w:tabs>
        <w:tab w:val="center" w:pos="4320"/>
        <w:tab w:val="right" w:pos="8640"/>
      </w:tabs>
      <w:snapToGrid w:val="0"/>
      <w:jc w:val="left"/>
    </w:pPr>
    <w:rPr>
      <w:sz w:val="18"/>
      <w:szCs w:val="18"/>
    </w:rPr>
  </w:style>
  <w:style w:type="character" w:customStyle="1" w:styleId="a8">
    <w:name w:val="页脚字符"/>
    <w:basedOn w:val="a0"/>
    <w:link w:val="a7"/>
    <w:uiPriority w:val="99"/>
    <w:rsid w:val="004832B6"/>
    <w:rPr>
      <w:sz w:val="18"/>
      <w:szCs w:val="18"/>
    </w:rPr>
  </w:style>
  <w:style w:type="paragraph" w:styleId="a9">
    <w:name w:val="Balloon Text"/>
    <w:basedOn w:val="a"/>
    <w:link w:val="aa"/>
    <w:uiPriority w:val="99"/>
    <w:semiHidden/>
    <w:unhideWhenUsed/>
    <w:rsid w:val="004832B6"/>
    <w:rPr>
      <w:rFonts w:ascii="Lucida Grande" w:hAnsi="Lucida Grande" w:cs="Lucida Grande"/>
      <w:sz w:val="18"/>
      <w:szCs w:val="18"/>
    </w:rPr>
  </w:style>
  <w:style w:type="character" w:customStyle="1" w:styleId="aa">
    <w:name w:val="批注框文本字符"/>
    <w:basedOn w:val="a0"/>
    <w:link w:val="a9"/>
    <w:uiPriority w:val="99"/>
    <w:semiHidden/>
    <w:rsid w:val="004832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F4"/>
    <w:pPr>
      <w:widowControl/>
      <w:spacing w:before="100" w:beforeAutospacing="1" w:after="100" w:afterAutospacing="1"/>
      <w:jc w:val="left"/>
    </w:pPr>
    <w:rPr>
      <w:rFonts w:ascii="Times" w:hAnsi="Times" w:cs="Times New Roman"/>
      <w:kern w:val="0"/>
      <w:sz w:val="20"/>
      <w:szCs w:val="20"/>
    </w:rPr>
  </w:style>
  <w:style w:type="paragraph" w:styleId="a4">
    <w:name w:val="List Paragraph"/>
    <w:basedOn w:val="a"/>
    <w:uiPriority w:val="34"/>
    <w:qFormat/>
    <w:rsid w:val="00AA7EF4"/>
    <w:pPr>
      <w:ind w:firstLine="420"/>
    </w:pPr>
  </w:style>
  <w:style w:type="paragraph" w:styleId="a5">
    <w:name w:val="header"/>
    <w:basedOn w:val="a"/>
    <w:link w:val="a6"/>
    <w:uiPriority w:val="99"/>
    <w:unhideWhenUsed/>
    <w:rsid w:val="004832B6"/>
    <w:pPr>
      <w:pBdr>
        <w:bottom w:val="single" w:sz="6" w:space="1" w:color="auto"/>
      </w:pBdr>
      <w:tabs>
        <w:tab w:val="center" w:pos="4320"/>
        <w:tab w:val="right" w:pos="8640"/>
      </w:tabs>
      <w:snapToGrid w:val="0"/>
      <w:jc w:val="center"/>
    </w:pPr>
    <w:rPr>
      <w:sz w:val="18"/>
      <w:szCs w:val="18"/>
    </w:rPr>
  </w:style>
  <w:style w:type="character" w:customStyle="1" w:styleId="a6">
    <w:name w:val="页眉字符"/>
    <w:basedOn w:val="a0"/>
    <w:link w:val="a5"/>
    <w:uiPriority w:val="99"/>
    <w:rsid w:val="004832B6"/>
    <w:rPr>
      <w:sz w:val="18"/>
      <w:szCs w:val="18"/>
    </w:rPr>
  </w:style>
  <w:style w:type="paragraph" w:styleId="a7">
    <w:name w:val="footer"/>
    <w:basedOn w:val="a"/>
    <w:link w:val="a8"/>
    <w:uiPriority w:val="99"/>
    <w:unhideWhenUsed/>
    <w:rsid w:val="004832B6"/>
    <w:pPr>
      <w:tabs>
        <w:tab w:val="center" w:pos="4320"/>
        <w:tab w:val="right" w:pos="8640"/>
      </w:tabs>
      <w:snapToGrid w:val="0"/>
      <w:jc w:val="left"/>
    </w:pPr>
    <w:rPr>
      <w:sz w:val="18"/>
      <w:szCs w:val="18"/>
    </w:rPr>
  </w:style>
  <w:style w:type="character" w:customStyle="1" w:styleId="a8">
    <w:name w:val="页脚字符"/>
    <w:basedOn w:val="a0"/>
    <w:link w:val="a7"/>
    <w:uiPriority w:val="99"/>
    <w:rsid w:val="004832B6"/>
    <w:rPr>
      <w:sz w:val="18"/>
      <w:szCs w:val="18"/>
    </w:rPr>
  </w:style>
  <w:style w:type="paragraph" w:styleId="a9">
    <w:name w:val="Balloon Text"/>
    <w:basedOn w:val="a"/>
    <w:link w:val="aa"/>
    <w:uiPriority w:val="99"/>
    <w:semiHidden/>
    <w:unhideWhenUsed/>
    <w:rsid w:val="004832B6"/>
    <w:rPr>
      <w:rFonts w:ascii="Lucida Grande" w:hAnsi="Lucida Grande" w:cs="Lucida Grande"/>
      <w:sz w:val="18"/>
      <w:szCs w:val="18"/>
    </w:rPr>
  </w:style>
  <w:style w:type="character" w:customStyle="1" w:styleId="aa">
    <w:name w:val="批注框文本字符"/>
    <w:basedOn w:val="a0"/>
    <w:link w:val="a9"/>
    <w:uiPriority w:val="99"/>
    <w:semiHidden/>
    <w:rsid w:val="004832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221">
      <w:bodyDiv w:val="1"/>
      <w:marLeft w:val="0"/>
      <w:marRight w:val="0"/>
      <w:marTop w:val="0"/>
      <w:marBottom w:val="0"/>
      <w:divBdr>
        <w:top w:val="none" w:sz="0" w:space="0" w:color="auto"/>
        <w:left w:val="none" w:sz="0" w:space="0" w:color="auto"/>
        <w:bottom w:val="none" w:sz="0" w:space="0" w:color="auto"/>
        <w:right w:val="none" w:sz="0" w:space="0" w:color="auto"/>
      </w:divBdr>
    </w:div>
    <w:div w:id="274942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568</Characters>
  <Application>Microsoft Macintosh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Apple</dc:creator>
  <cp:keywords/>
  <dc:description/>
  <cp:lastModifiedBy>huang Apple</cp:lastModifiedBy>
  <cp:revision>3</cp:revision>
  <dcterms:created xsi:type="dcterms:W3CDTF">2013-08-13T06:02:00Z</dcterms:created>
  <dcterms:modified xsi:type="dcterms:W3CDTF">2013-08-13T06:37:00Z</dcterms:modified>
</cp:coreProperties>
</file>